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Nomination to city office by petition</w:t>
      </w:r>
    </w:p>
    <w:p>
      <w:pPr>
        <w:jc w:val="both"/>
        <w:spacing w:before="100" w:after="100"/>
        <w:ind w:start="360"/>
        <w:ind w:firstLine="360"/>
      </w:pPr>
      <w:r>
        <w:rPr/>
      </w:r>
      <w:r>
        <w:rPr/>
      </w:r>
      <w:r>
        <w:t xml:space="preserve">A person may be nominated to any city office by nomination petition following the procedure prescribed by </w:t>
      </w:r>
      <w:r>
        <w:t>Title 21‑A, chapter 5, subchapter II</w:t>
      </w:r>
      <w:r>
        <w:t xml:space="preserve">.  A person seeking nomination under this section may use a political designation only if permitted by the city charter.  The petition and consent must be filed with the clerk at least 14 days before election day.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§2553. Nomination to city office by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Nomination to city office by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§2553. NOMINATION TO CITY OFFICE BY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