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2301</w:t>
        <w:t xml:space="preserve">.  </w:t>
      </w:r>
      <w:r>
        <w:rPr>
          <w:b/>
        </w:rPr>
        <w:t xml:space="preserve">Declaration of policy</w:t>
      </w:r>
    </w:p>
    <w:p>
      <w:pPr>
        <w:jc w:val="both"/>
        <w:spacing w:before="100" w:after="100"/>
        <w:ind w:start="360"/>
        <w:ind w:firstLine="360"/>
      </w:pPr>
      <w:r>
        <w:rPr/>
      </w:r>
      <w:r>
        <w:rPr/>
      </w:r>
      <w:r>
        <w:t xml:space="preserve">The Legislature recognizes that a high level of cooperation and understanding between the State and its local governments is necessary to achieve common public goals and that coordination through regional councils is a way to achieve improved state and local cooperation.  The Legislature further recognizes that regional councils are uniquely qualified to assist in the development of technical capacities of local governments; to develop regional policies, services and solutions to meet local needs; and to serve as a vital link between local governments and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§2301.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§2301.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