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2252</w:t>
        <w:t xml:space="preserve">.  </w:t>
      </w:r>
      <w:r>
        <w:rPr>
          <w:b/>
        </w:rPr>
        <w:t xml:space="preserve">"Political subdivision" defined</w:t>
      </w:r>
    </w:p>
    <w:p>
      <w:pPr>
        <w:jc w:val="both"/>
        <w:spacing w:before="100" w:after="100"/>
        <w:ind w:start="360"/>
        <w:ind w:firstLine="360"/>
      </w:pPr>
      <w:r>
        <w:rPr/>
      </w:r>
      <w:r>
        <w:rPr/>
      </w:r>
      <w:r>
        <w:t xml:space="preserve">"Political subdivision" means any municipality, plantation, county, quasi-municipal corporation and special purpose district, including, but not limited to, any water district, sanitary district, hospital district, municipal transmission and distribution utility and school administrative unit.  "School administrative unit" has the same meaning as found in </w:t>
      </w:r>
      <w:r>
        <w:t>Title 20‑A, section 1, subsection 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657,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657,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§2252. "Political subdivision"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§2252. "Political subdivision"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§2252. "POLITICAL SUBDIVISION"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