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2171</w:t>
        <w:t xml:space="preserve">.  </w:t>
      </w:r>
      <w:r>
        <w:rPr>
          <w:b/>
        </w:rPr>
        <w:t xml:space="preserve">Legislative intent</w:t>
      </w:r>
    </w:p>
    <w:p>
      <w:pPr>
        <w:jc w:val="both"/>
        <w:spacing w:before="100" w:after="100"/>
        <w:ind w:start="360"/>
        <w:ind w:firstLine="360"/>
      </w:pPr>
      <w:r>
        <w:rPr/>
      </w:r>
      <w:r>
        <w:rPr/>
      </w:r>
      <w:r>
        <w:t xml:space="preserve">The Legislature finds that the citizens of the State in accordance with the Constitution of Maine, </w:t>
      </w:r>
      <w:r>
        <w:t>Article I, Section 2</w:t>
      </w:r>
      <w:r>
        <w:t xml:space="preserve">, have an unalienable and indefeasible right to institute government and to alter, reform or totally change the same, when their safety and happiness require it.  The Legislature further finds that the Legislature has the responsibility to ensure that the rights of all citizens are protected and that a decision to alter or otherwise change the boundaries of a municipal government should be made with caution and only after following the process set forth in this subchapter.</w:t>
      </w:r>
      <w:r>
        <w:t xml:space="preserve">  </w:t>
      </w:r>
      <w:r xmlns:wp="http://schemas.openxmlformats.org/drawingml/2010/wordprocessingDrawing" xmlns:w15="http://schemas.microsoft.com/office/word/2012/wordml">
        <w:rPr>
          <w:rFonts w:ascii="Arial" w:hAnsi="Arial" w:cs="Arial"/>
          <w:sz w:val="22"/>
          <w:szCs w:val="22"/>
        </w:rPr>
        <w:t xml:space="preserve">[PL 1999, c. 381,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377, §2 (NEW). PL 1999, c. 381,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§2171. Legislative intent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§2171. Legislative intent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§2171. LEGISLATIVE INTENT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