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MERIDIAN LINES AND STANDARDS OF LENGTH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5. MERIDIAN LINES AND STANDARDS OF LENGTH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