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205-A</w:t>
      </w:r>
    </w:p>
    <w:p>
      <w:pPr>
        <w:jc w:val="center"/>
        <w:ind w:start="360"/>
        <w:spacing w:before="300" w:after="300"/>
      </w:pPr>
      <w:r>
        <w:rPr>
          <w:b/>
        </w:rPr>
        <w:t xml:space="preserve">MUNICIPAL CAPITAL IMPROVEMENT DISTRICTS</w:t>
      </w:r>
    </w:p>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205-A. MUNICIPAL CAPITAL IMPROVEMENT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205-A. MUNICIPAL CAPITAL IMPROVEMENT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205-A. MUNICIPAL CAPITAL IMPROVEMENT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