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881</w:t>
        <w:t xml:space="preserve">.  </w:t>
      </w:r>
      <w:r>
        <w:rPr>
          <w:b/>
        </w:rPr>
        <w:t xml:space="preserve">Budget; appropriations; approval</w:t>
      </w:r>
    </w:p>
    <w:p>
      <w:pPr>
        <w:jc w:val="both"/>
        <w:spacing w:before="100" w:after="100"/>
        <w:ind w:start="360"/>
        <w:ind w:firstLine="360"/>
      </w:pPr>
      <w:r>
        <w:rPr/>
      </w:r>
      <w:r>
        <w:rPr/>
      </w:r>
      <w:r>
        <w:t xml:space="preserve">Notwithstanding </w:t>
      </w:r>
      <w:r>
        <w:t>sections 2</w:t>
      </w:r>
      <w:r>
        <w:t xml:space="preserve">, </w:t>
      </w:r>
      <w:r>
        <w:t>701</w:t>
      </w:r>
      <w:r>
        <w:t xml:space="preserve"> and </w:t>
      </w:r>
      <w:r>
        <w:t>702</w:t>
      </w:r>
      <w:r>
        <w:t xml:space="preserve">, in Sagadahoc County the county commissioners may appropriate money according to a budget that must be approved by a majority of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1991, c. 513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§881. Budget; appropriations;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§881. Budget; appropriations;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§881. BUDGET; APPROPRIATIONS;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