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854</w:t>
        <w:t xml:space="preserve">.  </w:t>
      </w:r>
      <w:r>
        <w:rPr>
          <w:b/>
        </w:rPr>
        <w:t xml:space="preserve">Budget committee organization</w:t>
      </w:r>
    </w:p>
    <w:p>
      <w:pPr>
        <w:jc w:val="both"/>
        <w:spacing w:before="100" w:after="100"/>
        <w:ind w:start="360"/>
        <w:ind w:firstLine="360"/>
      </w:pPr>
      <w:r>
        <w:rPr/>
      </w:r>
      <w:r>
        <w:rPr/>
      </w:r>
      <w:r>
        <w:t xml:space="preserve">The budget committee shall conduct its meetings in public at the county courthouse.  The county commissioners shall direct the county clerk to call an organizational meeting of the budget committee no later than 60 days before the end of the county's fiscal year.  The county commissioners shall provide the committee with necessary clerical assistance, office expenses and suitable meeting space, as well as access to county files and information.  The budget committee shall adopt its own rules or procedures and bylaws.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§854. Budget committee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§854. Budget committee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§854. BUDGET COMMITTEE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