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5729</w:t>
        <w:t xml:space="preserve">.  </w:t>
      </w:r>
      <w:r>
        <w:rPr>
          <w:b/>
        </w:rPr>
        <w:t xml:space="preserve">Federal and state grants</w:t>
      </w:r>
    </w:p>
    <w:p>
      <w:pPr>
        <w:jc w:val="both"/>
        <w:spacing w:before="100" w:after="100"/>
        <w:ind w:start="360"/>
        <w:ind w:firstLine="360"/>
      </w:pPr>
      <w:r>
        <w:rPr/>
      </w:r>
      <w:r>
        <w:rPr/>
      </w:r>
      <w:r>
        <w:t xml:space="preserve">A municipality's acceptance of grants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Federal.</w:t>
        <w:t xml:space="preserve"> </w:t>
      </w:r>
      <w:r>
        <w:t xml:space="preserve"> </w:t>
      </w:r>
      <w:r>
        <w:t xml:space="preserve">Municipalities may apply for, accept and appropriate federal grants for any purpose for which federal grants are made available to municipalities either directly or through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w:t>
        <w:t xml:space="preserve"> </w:t>
      </w:r>
      <w:r>
        <w:t xml:space="preserve"> </w:t>
      </w:r>
      <w:r>
        <w:t xml:space="preserve">Municipalities may apply for, accept and appropriate state grants for any purpose for which state grants are made available to municipalities either directly or through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§5729. Federal and state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§5729. Federal and state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§5729. FEDERAL AND STATE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