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5717</w:t>
        <w:t xml:space="preserve">.  </w:t>
      </w:r>
      <w:r>
        <w:rPr>
          <w:b/>
        </w:rPr>
        <w:t xml:space="preserve">Retention of unauthorized securities</w:t>
      </w:r>
    </w:p>
    <w:p>
      <w:pPr>
        <w:jc w:val="both"/>
        <w:spacing w:before="100" w:after="100"/>
        <w:ind w:start="360"/>
        <w:ind w:firstLine="360"/>
      </w:pPr>
      <w:r>
        <w:rPr/>
      </w:r>
      <w:r>
        <w:rPr/>
      </w:r>
      <w:r>
        <w:t xml:space="preserve">Municipalities may acquire and hold securities not authorized by law, but which have been acquired in settlements, reorganizations, recapitalizations, mergers, consolidations, by receipt of stock dividends or the exercise of rights applicable to securities held by the municipalities and may continue to hold these securities at the discretion of the municipal officers.  Municipalities may continue to hold at the discretion of the municipal officers securities under authorization of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§5717. Retention of unauthorized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§5717. Retention of unauthorized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§5717. RETENTION OF UNAUTHORIZED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