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§5154. Maine Redevelopment Land Bank Authority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Maine Redevelopment Land Bank Authority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§5154. MAINE REDEVELOPMENT LAND BANK AUTHORITY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