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§5062. Reduced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Reduced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§5062. REDUCED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