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4725</w:t>
        <w:t xml:space="preserve">.  </w:t>
      </w:r>
      <w:r>
        <w:rPr>
          <w:b/>
        </w:rPr>
        <w:t xml:space="preserve">Removal of commissioners</w:t>
      </w:r>
    </w:p>
    <w:p>
      <w:pPr>
        <w:jc w:val="both"/>
        <w:spacing w:before="100" w:after="100"/>
        <w:ind w:start="360"/>
        <w:ind w:firstLine="360"/>
      </w:pPr>
      <w:r>
        <w:rPr/>
      </w:r>
      <w:r>
        <w:rPr/>
      </w:r>
      <w:r>
        <w:t xml:space="preserve">A commissioner may be removed from office for inefficiency, neglect of duty or misconduct in office after hearing by the legislative body of a city, the select board of a town, or, in the case of the Maine State Housing Authority, the Governor.  The commissioner must be given a copy of the charges at least 10 days before the hearing and must be given an opportunity to be heard in person or to be represented by counsel.  If a commissioner is removed, a record of the proceedings, together with the charges and the findings on the charges, must be filed in the office of the clerk or, in the case of the Maine State Housing Authority, in the office of the Secretary of State.  This section does not apply to the director of the Maine State Housing Authority, who may be removed by the commissioners pursuant to </w:t>
      </w:r>
      <w:r>
        <w:t>section 4723,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275, §51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2011, c. 560, §2 (AMD). PL 2021, c. 275, §51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§4725. Removal of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§4725. Removal of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§4725. REMOVAL OF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