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4704</w:t>
        <w:t xml:space="preserve">.  </w:t>
      </w:r>
      <w:r>
        <w:rPr>
          <w:b/>
        </w:rPr>
        <w:t xml:space="preserve">Planning, zoning and building laws</w:t>
      </w:r>
    </w:p>
    <w:p>
      <w:pPr>
        <w:jc w:val="both"/>
        <w:spacing w:before="100" w:after="100"/>
        <w:ind w:start="360"/>
        <w:ind w:firstLine="360"/>
      </w:pPr>
      <w:r>
        <w:rPr/>
      </w:r>
      <w:r>
        <w:rPr/>
      </w:r>
      <w:r>
        <w:t xml:space="preserve">All projects of an authority are subject to the planning, zoning, sanitary and building laws, ordinances and regulations applicable to the area in which the project is located.  In the planning and location of any project, an authority shall conform to any larger or long-range program for the development of the area in which the project is located.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§4704. Planning, zoning and building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§4704. Planning, zoning and building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§4704. PLANNING, ZONING AND BUILDING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