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4456</w:t>
        <w:t xml:space="preserve">.  </w:t>
      </w:r>
      <w:r>
        <w:rPr>
          <w:b/>
        </w:rPr>
        <w:t xml:space="preserve">Interlocal agreements</w:t>
      </w:r>
    </w:p>
    <w:p>
      <w:pPr>
        <w:jc w:val="both"/>
        <w:spacing w:before="100" w:after="100"/>
        <w:ind w:start="360"/>
        <w:ind w:firstLine="360"/>
      </w:pPr>
      <w:r>
        <w:rPr/>
      </w:r>
      <w:r>
        <w:rPr/>
      </w:r>
      <w:r>
        <w:t xml:space="preserve">Two or more municipalities may enter into an interlocal agreement under this section to regulate water level regimes and minimum flow requirements for impounded bodies of water and dams that are entirely within the corporate boundaries of those municipalities only if each municipality has adopted an ordinance that has been approved by the Commissioner of Environmental Protection pursuant to this subchapter.</w:t>
      </w:r>
      <w:r>
        <w:t xml:space="preserve">  </w:t>
      </w:r>
      <w:r xmlns:wp="http://schemas.openxmlformats.org/drawingml/2010/wordprocessingDrawing" xmlns:w15="http://schemas.microsoft.com/office/word/2012/wordml">
        <w:rPr>
          <w:rFonts w:ascii="Arial" w:hAnsi="Arial" w:cs="Arial"/>
          <w:sz w:val="22"/>
          <w:szCs w:val="22"/>
        </w:rPr>
        <w:t xml:space="preserve">[RR 1993, c. 2, §26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1993, c. 2, §26 (COR). PL 1993, c. 370,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§4456. Interlocal agreements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§4456. Interlocal agreements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§4456. INTERLOCAL AGREEMENTS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