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3402</w:t>
        <w:t xml:space="preserve">.  </w:t>
      </w:r>
      <w:r>
        <w:rPr>
          <w:b/>
        </w:rPr>
        <w:t xml:space="preserve">Construction of drains; expense and control; notice; damages</w:t>
      </w:r>
    </w:p>
    <w:p>
      <w:pPr>
        <w:jc w:val="both"/>
        <w:spacing w:before="100" w:after="0"/>
        <w:ind w:start="360"/>
        <w:ind w:firstLine="360"/>
      </w:pPr>
      <w:r>
        <w:rPr>
          <w:b/>
        </w:rPr>
        <w:t>1</w:t>
        <w:t xml:space="preserve">.  </w:t>
      </w:r>
      <w:r>
        <w:rPr>
          <w:b/>
        </w:rPr>
        <w:t xml:space="preserve">Construction of sewers and drains.</w:t>
        <w:t xml:space="preserve"> </w:t>
      </w:r>
      <w:r>
        <w:t xml:space="preserve"> </w:t>
      </w:r>
      <w:r>
        <w:t xml:space="preserve">The municipal officers of a municipality, or a committee duly chosen by the municipality, may construct public drains or sewers, sewer systems or sewage disposal systems at the municipality's expense, along or across any public way in the municipality and through or upon any lands of persons when they consider it necessary for public convenience or health.  Neither the municipal officers nor such a committee may construct any public sewer, sewer system or sewage disposal system in the municipality until that sewer is authorized by vote of the municipal legislative body and an appropriation made for the purpose.  When constructed, these sewers, sewer systems or sewage disposal systems are under the control of the municipal officers.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2</w:t>
        <w:t xml:space="preserve">.  </w:t>
      </w:r>
      <w:r>
        <w:rPr>
          <w:b/>
        </w:rPr>
        <w:t xml:space="preserve">Taking of land.</w:t>
        <w:t xml:space="preserve"> </w:t>
      </w:r>
      <w:r>
        <w:t xml:space="preserve"> </w:t>
      </w:r>
      <w:r>
        <w:t xml:space="preserve">Before the land is taken for the construction of any sewer, notice shall be given and damages assessed and paid for the land as is provided for the location of town ways under </w:t>
      </w:r>
      <w:r>
        <w:t>Title 23, chapter 304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§3402. Construction of drains; expense and control; notice; damages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§3402. Construction of drains; expense and control; notice; damages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§3402. CONSTRUCTION OF DRAINS; EXPENSE AND CONTROL; NOTICE; DAMAGES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