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Municipal forests</w:t>
      </w:r>
    </w:p>
    <w:p>
      <w:pPr>
        <w:jc w:val="both"/>
        <w:spacing w:before="100" w:after="100"/>
        <w:ind w:start="360"/>
        <w:ind w:firstLine="360"/>
      </w:pPr>
      <w:r>
        <w:rPr/>
      </w:r>
      <w:r>
        <w:rPr/>
      </w:r>
      <w:r>
        <w:t xml:space="preserve">Under its home rule authority, a municipality may acquire lands for the purpose of forestation or for reclaiming and planting forest trees on such lands.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§3201. Municipal forests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Municipal forests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§3201. MUNICIPAL FORESTS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