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2532</w:t>
        <w:t xml:space="preserve">.  </w:t>
      </w:r>
      <w:r>
        <w:rPr>
          <w:b/>
        </w:rPr>
        <w:t xml:space="preserve">Referendum recount procedure</w:t>
      </w:r>
    </w:p>
    <w:p>
      <w:pPr>
        <w:jc w:val="both"/>
        <w:spacing w:before="100" w:after="100"/>
        <w:ind w:start="360"/>
        <w:ind w:firstLine="360"/>
      </w:pPr>
      <w:r>
        <w:rPr/>
      </w:r>
      <w:r>
        <w:rPr/>
      </w:r>
      <w:r>
        <w:t xml:space="preserve">In the case of a referendum, a recount must be granted upon written application of 10% or 100, whichever is less, of the registered voters in the municipality, except that, notwithstanding any provision of law to the contrary, if a municipal referendum passes or fails by less than 1% of all the votes cast in the referendum, including any blank ballots cast, a recount may be conducted upon the majority vote of the municipal officers.  The application must designate a person to be the official representative of the registered voters requesting the recount including the person's legal name, mailing address, residence address and telephone number.  An official representative for the registered voters opposing the recount may be established by submission of an affidavit signed by 10 registered voters of the municipality.  The time limits, rules and all other matters applying to candidates under </w:t>
      </w:r>
      <w:r>
        <w:t>section 2531‑B</w:t>
      </w:r>
      <w:r>
        <w:t xml:space="preserve"> apply equally to a referendum recount, except that provisions in </w:t>
      </w:r>
      <w:r>
        <w:t>section 2531‑B</w:t>
      </w:r>
      <w:r>
        <w:t xml:space="preserve"> applicable to the candidate requesting the recount and candidates not requesting the recount apply, for purposes of this section, to the official representative of the referendum recount and the official representative, if any, of the voters opposed to the recount, respectively.</w:t>
      </w:r>
      <w:r>
        <w:t xml:space="preserve">  </w:t>
      </w:r>
      <w:r xmlns:wp="http://schemas.openxmlformats.org/drawingml/2010/wordprocessingDrawing" xmlns:w15="http://schemas.microsoft.com/office/word/2012/wordml">
        <w:rPr>
          <w:rFonts w:ascii="Arial" w:hAnsi="Arial" w:cs="Arial"/>
          <w:sz w:val="22"/>
          <w:szCs w:val="22"/>
        </w:rPr>
        <w:t xml:space="preserve">[PL 2025, c. 268,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608, §14 (AMD). PL 2011, c. 255, §8 (AMD). PL 2017, c. 191, §2 (AMD). PL 2019, c. 288, §2 (AMD). PL 2025, c. 268,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§2532. Referendum recount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§2532. Referendum recount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§2532. REFERENDUM RECOUNT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