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2355</w:t>
        <w:t xml:space="preserve">.  </w:t>
      </w:r>
      <w:r>
        <w:rPr>
          <w:b/>
        </w:rPr>
        <w:t xml:space="preserve">Annual omnibus legislation</w:t>
      </w:r>
    </w:p>
    <w:p>
      <w:pPr>
        <w:jc w:val="both"/>
        <w:spacing w:before="100" w:after="100"/>
        <w:ind w:start="360"/>
        <w:ind w:firstLine="360"/>
      </w:pPr>
      <w:r>
        <w:rPr/>
      </w:r>
      <w:r>
        <w:rPr/>
      </w:r>
      <w:r>
        <w:t xml:space="preserve">The joint standing committee of the Legislature having jurisdiction over utilities shall report each year an omnibus bill including amendments to and revisions of the charters of quasi-municipal corporations or districts which have been submitted to the committee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§2355. Annual omnibus legislation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§2355. Annual omnibus legislation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§2355. ANNUAL OMNIBUS LEGISLATION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