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2179</w:t>
        <w:t xml:space="preserve">.  </w:t>
      </w:r>
      <w:r>
        <w:rPr>
          <w:b/>
        </w:rPr>
        <w:t xml:space="preserve">Debt service of county</w:t>
      </w:r>
    </w:p>
    <w:p>
      <w:pPr>
        <w:jc w:val="both"/>
        <w:spacing w:before="100" w:after="100"/>
        <w:ind w:start="360"/>
        <w:ind w:firstLine="360"/>
      </w:pPr>
      <w:r>
        <w:rPr/>
      </w:r>
      <w:r>
        <w:rPr/>
      </w:r>
      <w:r>
        <w:t xml:space="preserve">The municipality seceding under this subchapter must continue to pay the municipality's share of the debt service to the county from which the municipality is seceding. The time period for which the amount of debt service can be paid must be agreed upon between the municipality seceding and the county from which the municipality is seceding.  Payment may not extend longer than the time in which the voters authorized the debt to be borne.</w:t>
      </w:r>
      <w:r>
        <w:t xml:space="preserve">  </w:t>
      </w:r>
      <w:r xmlns:wp="http://schemas.openxmlformats.org/drawingml/2010/wordprocessingDrawing" xmlns:w15="http://schemas.microsoft.com/office/word/2012/wordml">
        <w:rPr>
          <w:rFonts w:ascii="Arial" w:hAnsi="Arial" w:cs="Arial"/>
          <w:sz w:val="22"/>
          <w:szCs w:val="22"/>
        </w:rPr>
        <w:t xml:space="preserve">[PL 2007, c. 401,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§2179. Debt service of county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§2179. Debt service of county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§2179. DEBT SERVICE OF COUNTY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