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2178</w:t>
        <w:t xml:space="preserve">.  </w:t>
      </w:r>
      <w:r>
        <w:rPr>
          <w:b/>
        </w:rPr>
        <w:t xml:space="preserve">Cost of referenda</w:t>
      </w:r>
    </w:p>
    <w:p>
      <w:pPr>
        <w:jc w:val="both"/>
        <w:spacing w:before="100" w:after="100"/>
        <w:ind w:start="360"/>
        <w:ind w:firstLine="360"/>
      </w:pPr>
      <w:r>
        <w:rPr/>
      </w:r>
      <w:r>
        <w:rPr/>
      </w:r>
      <w:r>
        <w:t xml:space="preserve">The municipality petitioning to secede shall bear the expense of the 2 countywide referenda under </w:t>
      </w:r>
      <w:r>
        <w:t>section 2177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401,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401,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§2178. Cost of referenda</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§2178. Cost of referenda</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§2178. COST OF REFERENDA</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