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2171-E</w:t>
        <w:t xml:space="preserve">.  </w:t>
      </w:r>
      <w:r>
        <w:rPr>
          <w:b/>
        </w:rPr>
        <w:t xml:space="preserve">Vote of municipal officers</w:t>
      </w:r>
    </w:p>
    <w:p>
      <w:pPr>
        <w:jc w:val="both"/>
        <w:spacing w:before="100" w:after="100"/>
        <w:ind w:start="360"/>
        <w:ind w:firstLine="360"/>
      </w:pPr>
      <w:r>
        <w:rPr/>
      </w:r>
      <w:r>
        <w:rPr/>
      </w:r>
      <w:r>
        <w:t xml:space="preserve">Following the advisory referendum, the municipal officers shall take a recorded vote on whether to support the secession request.  If a majority of the officers approves the request and more than 50% of the registered voters in the secession territory voting at the advisory referendum pursuant to </w:t>
      </w:r>
      <w:r>
        <w:t>section 2171‑D</w:t>
      </w:r>
      <w:r>
        <w:t xml:space="preserve"> favor secession, legislation requesting secession may be submitted to the Legislature with the information required in </w:t>
      </w:r>
      <w:r>
        <w:t>section 2172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§2171-E. Vote of municipal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§2171-E. Vote of municipal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§2171-E. VOTE OF MUNICIPAL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