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Purpose</w:t>
      </w:r>
    </w:p>
    <w:p>
      <w:pPr>
        <w:jc w:val="both"/>
        <w:spacing w:before="100" w:after="100"/>
        <w:ind w:start="360"/>
        <w:ind w:firstLine="360"/>
      </w:pPr>
      <w:r>
        <w:rPr/>
      </w:r>
      <w:r>
        <w:rPr/>
      </w:r>
      <w:r>
        <w:t xml:space="preserve">The purpose of this chapter is to provide a method for each county, by vote of its voters, to determine the structure of county government in that county. The county charter adopted in each county may determine the officers of the county, their relationship, the administrative structure necessary to perform county functions and the organization of county government, subject to the limits of the Constitution of Maine.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§1301.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