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191. PLANNING AND ZONING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