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860</w:t>
        <w:t xml:space="preserve">.  </w:t>
      </w:r>
      <w:r>
        <w:rPr>
          <w:b/>
        </w:rPr>
        <w:t xml:space="preserve">Divorce</w:t>
      </w:r>
    </w:p>
    <w:p>
      <w:pPr>
        <w:jc w:val="both"/>
        <w:spacing w:before="100" w:after="100"/>
        <w:ind w:start="360"/>
        <w:ind w:firstLine="360"/>
      </w:pPr>
      <w:r>
        <w:rPr/>
      </w:r>
      <w:r>
        <w:rPr/>
      </w:r>
      <w:r>
        <w:t xml:space="preserve">If a retiree who is the recipient of a reduced service retirement allowance under </w:t>
      </w:r>
      <w:r>
        <w:t>section 857</w:t>
      </w:r>
      <w:r>
        <w:t xml:space="preserve"> is granted a divorce either after retirement or before a retirement beneficiary is named, the provisions of </w:t>
      </w:r>
      <w:r>
        <w:t>Title 5, section 17805‑A</w:t>
      </w:r>
      <w:r>
        <w:t xml:space="preserve"> apply on the same basis as for members of the State Employee and Teacher Retirement Program.</w:t>
      </w:r>
      <w:r>
        <w:t xml:space="preserve">  </w:t>
      </w:r>
      <w:r xmlns:wp="http://schemas.openxmlformats.org/drawingml/2010/wordprocessingDrawing" xmlns:w15="http://schemas.microsoft.com/office/word/2012/wordml">
        <w:rPr>
          <w:rFonts w:ascii="Arial" w:hAnsi="Arial" w:cs="Arial"/>
          <w:sz w:val="22"/>
          <w:szCs w:val="22"/>
        </w:rPr>
        <w:t xml:space="preserve">[PL 2007, c. 491,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55, §1 (NEW). PL 2007, c. 58, §3 (REV). PL 2007, c. 491, §33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§860. Divorce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§860. Divorce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§860. DIVORCE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