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§1914. Safety seat 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Safety seat belts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§1914. SAFETY SEAT 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