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w:t>
        <w:t xml:space="preserve">.  </w:t>
      </w:r>
      <w:r>
        <w:rPr>
          <w:b/>
        </w:rPr>
        <w:t xml:space="preserve">Deaf, hard-of-hearing and late-deafened persons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§§A92,93 (AMD). PL 1995, c. 65, §§A153,C15 (AFF). PL 2001, c. 361, §12 (AMD). PL 2009, c. 174, §22 (AMD). PL 2021, c. 216,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 Deaf, hard-of-hearing and late-deafened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 Deaf, hard-of-hearing and late-deafened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§522. DEAF, HARD-OF-HEARING AND LATE-DEAFENED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