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Registration fee for motor homes</w:t>
      </w:r>
    </w:p>
    <w:p>
      <w:pPr>
        <w:jc w:val="both"/>
        <w:spacing w:before="100" w:after="100"/>
        <w:ind w:start="360"/>
        <w:ind w:firstLine="360"/>
      </w:pPr>
      <w:r>
        <w:rPr/>
      </w:r>
      <w:r>
        <w:rPr/>
      </w:r>
      <w:r>
        <w:t xml:space="preserve">The annual fee for registration of motor homes is the same as for farm trucks.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The Secretary of State may select and issue a special distinguishing letter, mark or design for registration plates issued to motor homes.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Registration fee for motor homes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Registration fee for motor homes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§506. REGISTRATION FEE FOR MOTOR HOMES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