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§2381. Moving heavy objects and objects that exceed dimensional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Moving heavy objects and objects that exceed dimensional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§2381. MOVING HEAVY OBJECTS AND OBJECTS THAT EXCEED DIMENSIONAL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