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Accidents involving death or personal injury</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anywhere that results in personal injury or death to a person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injured person or someone acting for the injured person or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C</w:t>
        <w:t xml:space="preserve">.  </w:t>
      </w:r>
      <w:r>
        <w:rPr/>
      </w:r>
      <w:r>
        <w:t xml:space="preserve">An opportunity to examine the driver's license if the injured person or someone acting for the injured person or the operator or an occupant of the other vehicle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injured person or someone acting for the injured person or the operator or occupant of the other vehicle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commits a Class D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commits a Class C crime if that person intentionally, knowingly or recklessly fails to comply with this section and the accident resulted in serious bodily injury, as defined in </w:t>
      </w:r>
      <w:r>
        <w:t>Title 17‑A, section 2, subsection 23</w:t>
      </w:r>
      <w:r>
        <w:t xml:space="preserve">,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670, §1 (NEW).]</w:t>
      </w:r>
    </w:p>
    <w:p>
      <w:pPr>
        <w:jc w:val="both"/>
        <w:spacing w:before="100" w:after="100"/>
        <w:ind w:start="360"/>
        <w:ind w:firstLine="360"/>
      </w:pPr>
      <w:r>
        <w:rPr>
          <w:b/>
        </w:rPr>
        <w:t>6</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670, §1 (AMD). PL 2013, c. 291,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Accidents involving death or personal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Accidents involving death or personal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§2252. ACCIDENTS INVOLVING DEATH OR PERSONAL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