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Suspension of minor's operator's license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§2053. SUSPENSION OF MINOR'S OPERATOR'S LICENSE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