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TAXES</w:t>
      </w:r>
    </w:p>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65.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65.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