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§85-A. Powers and duties of Museum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Powers and duties of Museum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§85-A. POWERS AND DUTIES OF MUSEUM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