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554</w:t>
        <w:t xml:space="preserve">.  </w:t>
      </w:r>
      <w:r>
        <w:rPr>
          <w:b/>
        </w:rPr>
        <w:t xml:space="preserve">Staff</w:t>
      </w:r>
    </w:p>
    <w:p>
      <w:pPr>
        <w:jc w:val="both"/>
        <w:spacing w:before="100" w:after="100"/>
        <w:ind w:start="360"/>
        <w:ind w:firstLine="360"/>
      </w:pPr>
      <w:r>
        <w:rPr/>
      </w:r>
      <w:r>
        <w:rPr/>
      </w:r>
      <w:r>
        <w:t xml:space="preserve">The directors and the personnel of the cultural agencies shall provide staff assistance to the Maine State Cultural Affairs Council.</w:t>
      </w:r>
      <w:r>
        <w:t xml:space="preserve">  </w:t>
      </w:r>
      <w:r xmlns:wp="http://schemas.openxmlformats.org/drawingml/2010/wordprocessingDrawing" xmlns:w15="http://schemas.microsoft.com/office/word/2012/wordml">
        <w:rPr>
          <w:rFonts w:ascii="Arial" w:hAnsi="Arial" w:cs="Arial"/>
          <w:sz w:val="22"/>
          <w:szCs w:val="22"/>
        </w:rPr>
        <w:t xml:space="preserve">[PL 1989, c. 700, Pt. B, §42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§B42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§554. Staff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§554. Staff</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§554. STAFF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