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w:t>
        <w:t xml:space="preserve">.  </w:t>
      </w:r>
      <w:r>
        <w:rPr>
          <w:b/>
        </w:rPr>
        <w:t xml:space="preserve">Other laws applicable -- Article VIII</w:t>
      </w:r>
    </w:p>
    <w:p>
      <w:pPr>
        <w:jc w:val="both"/>
        <w:spacing w:before="100" w:after="100"/>
        <w:ind w:start="360"/>
        <w:ind w:firstLine="360"/>
      </w:pPr>
      <w:r>
        <w:rPr/>
      </w:r>
      <w:r>
        <w:rPr/>
      </w:r>
      <w:r>
        <w:t xml:space="preserve">Nothing in this compact or in any library agreement shall be construed to supersede, alter or otherwise impair any obligation imposed on any library by otherwise applicable law, nor to authorize the transfer or disposition of any property held in trust by a library agency in a manner contrary to the terms of such trust.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 Other laws applicable -- Article VIII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 Other laws applicable -- Article VIII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§148. OTHER LAWS APPLICABLE -- ARTICLE VIII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