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968</w:t>
        <w:t xml:space="preserve">.  </w:t>
      </w:r>
      <w:r>
        <w:rPr>
          <w:b/>
        </w:rPr>
        <w:t xml:space="preserve">Maine Labor Relations Board; powers and duties</w:t>
      </w:r>
    </w:p>
    <w:p>
      <w:pPr>
        <w:jc w:val="both"/>
        <w:spacing w:before="100" w:after="0"/>
        <w:ind w:start="360"/>
        <w:ind w:firstLine="360"/>
      </w:pPr>
      <w:r>
        <w:rPr>
          <w:b/>
        </w:rPr>
        <w:t>1</w:t>
        <w:t xml:space="preserve">.  </w:t>
      </w:r>
      <w:r>
        <w:rPr>
          <w:b/>
        </w:rPr>
        <w:t xml:space="preserve">Maine Labor Relations Board.</w:t>
        <w:t xml:space="preserve"> </w:t>
      </w:r>
      <w:r>
        <w:t xml:space="preserve"> </w:t>
      </w:r>
      <w:r>
        <w:t xml:space="preserve">The Maine Labor Relations Board, established by </w:t>
      </w:r>
      <w:r>
        <w:t>Title 5, section 12004‑B, subsection 2</w:t>
      </w:r>
      <w:r>
        <w:t xml:space="preserve">, consists of 3 members and 6 alternates appointed by the Governor, subject to review by the joint standing committee of the Legislature having jurisdiction over labor matters and to confirmation by the Legislature.  The Governor, in making appointments, shall name one member and 2 alternates to represent employees, one member and 2 alternates to represent employers and one member and 2 alternates to represent the public.  The member and alternates representing employees may not have worked in a management capacity or represented employer interests in any proceedings at any time during the prior 6 years.  The member and alternates representing the public may not have worked in a management capacity or represented employer interests in any proceedings or have worked for a labor organization or served in a leadership role in a labor organization at any time during the prior 6 years.  The member representing the public serves as the board's chair and the alternate representing the public serves as an alternate chair.  Members of the board are entitled to compensation according to the provisions of </w:t>
      </w:r>
      <w:r>
        <w:t>Title 5, chapter 379</w:t>
      </w:r>
      <w:r>
        <w:t xml:space="preserve">.  The alternates are entitled to compensation at the same per diem rate as the member that the alternate replaces.  The term of each member and each alternate is 4 years, except that of the members and alternates first appointed, one member and 2 alternates are appointed for a term of 4 years, one member and 2 alternates are appointed for a term of 3 years and one member and 2 alternates are appointed for a term of 2 years.  The members of the board, its alternates and its employees are entitled to receive necessary expenses.  Per diem and necessary expenses for members and alternates of the board may be paid from the board's General Fund appropriation if, in the discretion of the executive director, doing so would not create a financial hardship for the board; otherwise, per diem and necessary expenses for members and alternates of the board, as well as state cost allocation program charges, must be shared equally by the parties to any proceeding at which the board presides and must be paid into a special fund administered by the board from which all costs must be paid.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subsection remains in the special fund administered by the Maine Labor Relations Board, and that fund does not lapse.  The executive director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  At its discretion, the board may allocate all costs to a party that presents a frivolous complaint or defense or that commits a blatant violation of the applicable collective bargaining law.  When the board meets on administrative or other matters that do not concern the interests of particular parties or when any board member presides at a prehearing conference, the members' per diem and necessary expenses must be paid from the board's regular appropriation for these purposes.  The executive director and legal or professional personnel employed by the board are members of the unclassified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421, §2 (AMD).]</w:t>
      </w:r>
    </w:p>
    <w:p>
      <w:pPr>
        <w:jc w:val="both"/>
        <w:spacing w:before="100" w:after="100"/>
        <w:ind w:start="360"/>
        <w:ind w:firstLine="360"/>
      </w:pPr>
      <w:r>
        <w:rPr>
          <w:b/>
        </w:rPr>
        <w:t>2</w:t>
        <w:t xml:space="preserve">.  </w:t>
      </w:r>
      <w:r>
        <w:rPr>
          <w:b/>
        </w:rPr>
        <w:t xml:space="preserve">Executive director.</w:t>
        <w:t xml:space="preserve"> </w:t>
      </w:r>
      <w:r>
        <w:t xml:space="preserve"> </w:t>
      </w:r>
      <w:r>
        <w:t xml:space="preserve">The Executive Director of the Maine Labor Relations Board must be appointed by the board to serve at the board's will and pleasure.  The person appointed must be experienced in the field of labor relations. The executive director shall perform the duties designated by statute and such other duties as may from time to time be assigned to the executive director by the board. The executive director shall serve as secretary of the board and shall maintain a record of all proceedings before the board. A board member may not serve as executive director.</w:t>
      </w:r>
    </w:p>
    <w:p>
      <w:pPr>
        <w:jc w:val="both"/>
        <w:spacing w:before="100" w:after="0"/>
        <w:ind w:start="360"/>
      </w:pPr>
      <w:r>
        <w:rPr/>
      </w:r>
      <w:r>
        <w:rPr/>
      </w:r>
      <w:r>
        <w:t xml:space="preserve">The salary of the executive director must be established by the board within salary range 86 and may be adjusted periodically by the board within the limits for salary review procedures established in Title 2, section 6,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§56 (COR).]</w:t>
      </w:r>
    </w:p>
    <w:p>
      <w:pPr>
        <w:jc w:val="both"/>
        <w:spacing w:before="100" w:after="0"/>
        <w:ind w:start="360"/>
        <w:ind w:firstLine="360"/>
      </w:pPr>
      <w:r>
        <w:rPr>
          <w:b/>
        </w:rPr>
        <w:t>3</w:t>
        <w:t xml:space="preserve">.  </w:t>
      </w:r>
      <w:r>
        <w:rPr>
          <w:b/>
        </w:rPr>
        <w:t xml:space="preserve">Rule-making power.</w:t>
        <w:t xml:space="preserve"> </w:t>
      </w:r>
      <w:r>
        <w:t xml:space="preserve"> </w:t>
      </w:r>
      <w:r>
        <w:t xml:space="preserve">The board may, after a public hearing, from time to time, adopt such rules of procedure as it deems necessary for the orderly conduct of its business and for carrying out the purposes of this chapter.  Such rules shall be published and made available to all interested parties.  The board shall also, upon its own initiative or upon request, issue interpretative rules interpreting the provisions of this chapter.  Such interpretative rules shall be advisory only and shall not be binding upon any court.  Such interpretative rules must be in writing and available to any person interested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§24 (AMD).]</w:t>
      </w:r>
    </w:p>
    <w:p>
      <w:pPr>
        <w:jc w:val="both"/>
        <w:spacing w:before="100" w:after="100"/>
        <w:ind w:start="360"/>
        <w:ind w:firstLine="360"/>
      </w:pPr>
      <w:r>
        <w:rPr>
          <w:b/>
        </w:rPr>
        <w:t>4</w:t>
        <w:t xml:space="preserve">.  </w:t>
      </w:r>
      <w:r>
        <w:rPr>
          <w:b/>
        </w:rPr>
        <w:t xml:space="preserve">Review of representative proceedings.</w:t>
        <w:t xml:space="preserve"> </w:t>
      </w:r>
      <w:r>
        <w:t xml:space="preserve"> </w:t>
      </w:r>
      <w:r>
        <w:t xml:space="preserve">Any party aggrieved by any ruling or determination of the executive director, or the executive director's designee, under </w:t>
      </w:r>
      <w:r>
        <w:t>sections 966</w:t>
      </w:r>
      <w:r>
        <w:t xml:space="preserve"> and </w:t>
      </w:r>
      <w:r>
        <w:t>967</w:t>
      </w:r>
      <w:r>
        <w:t xml:space="preserve"> may appeal, within 15 days of the announcement of the ruling or determination, except that in the instance of objections to the conduct of an election or challenged ballots the time period is 5 working days, to the Maine Labor Relations Board.</w:t>
      </w:r>
    </w:p>
    <w:p>
      <w:pPr>
        <w:jc w:val="both"/>
        <w:spacing w:before="100" w:after="0"/>
        <w:ind w:start="360"/>
      </w:pPr>
      <w:r>
        <w:rPr/>
      </w:r>
      <w:r>
        <w:rPr/>
      </w:r>
      <w:r>
        <w:t xml:space="preserve">Upon receipt of such an appeal, the board shall within a reasonable time hold a hearing having first caused 7 days notice in writing of the time and place of the hearing to be given to the aggrieved party, the labor organizations or bargaining agent and the public employer.  These hearings must be conducted in the manner provided in </w:t>
      </w:r>
      <w:r>
        <w:t>subsection 5, paragraph B</w:t>
      </w:r>
      <w:r>
        <w:t xml:space="preserve">. Within a reasonable time after the conclusion of any hearing the board shall make a written decision that must include findings of fact and either affirm or modify the ruling or determination of the executive director and specify the reasons for that action. A copy of that decision must be mailed to the labor organization or bargaining agent or its attorney or other designated representative and the public employer.  Decisions of the board made pursuant to this subsection are subject to review by the Superior Court under the Maine Rules of Civil Procedure, Rule 80C, in accordance with the standards specified in </w:t>
      </w:r>
      <w:r>
        <w:t>section 972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 (AMD).]</w:t>
      </w:r>
    </w:p>
    <w:p>
      <w:pPr>
        <w:jc w:val="both"/>
        <w:spacing w:before="100" w:after="100"/>
        <w:ind w:start="360"/>
        <w:ind w:firstLine="360"/>
      </w:pPr>
      <w:r>
        <w:rPr>
          <w:b/>
        </w:rPr>
        <w:t>5</w:t>
        <w:t xml:space="preserve">.  </w:t>
      </w:r>
      <w:r>
        <w:rPr>
          <w:b/>
        </w:rPr>
        <w:t xml:space="preserve">Prevention of prohibited acts.</w:t>
        <w:t xml:space="preserve"> </w:t>
      </w:r>
    </w:p>
    <w:p>
      <w:pPr>
        <w:jc w:val="both"/>
        <w:spacing w:before="100" w:after="0"/>
        <w:ind w:start="720"/>
      </w:pPr>
      <w:r>
        <w:rPr/>
        <w:t>A</w:t>
        <w:t xml:space="preserve">.  </w:t>
      </w:r>
      <w:r>
        <w:rPr/>
      </w:r>
      <w:r>
        <w:t xml:space="preserve">The board is empowered, as provided, to prevent any person, any public employer, any public employee, any public employee organization or any bargaining agent from engaging in any of the prohibited acts enumerated in </w:t>
      </w:r>
      <w:r>
        <w:t>section 964</w:t>
      </w:r>
      <w:r>
        <w:t xml:space="preserve">.  This power shall not be affected by any other means of adjustment or prevention that has been or may be established by agreement, law or otherwise.</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B</w:t>
        <w:t xml:space="preserve">.  </w:t>
      </w:r>
      <w:r>
        <w:rPr/>
      </w:r>
      <w:r>
        <w:t xml:space="preserve">A public employer, public employee, public employee organization or bargaining agent that believes that any person, any public employer, any public employee, any public employee organization or any bargaining agent has engaged in or is engaging in such a prohibited practice may file a complaint with the executive director of the board stating the charges in that regard. A complaint may not be filed with the executive director until the complaining party has served a copy of the complaint upon the party complained of.  Upon receipt of the complaint, the executive director or the executive director's designee shall review the charge to determine whether the facts as alleged constitute a prohibited act. If it is determined that the facts do not, as a matter of law, constitute a violation, the charge must be dismissed by the executive director, subject to review by the board.  If a formal hearing is determined necessary by the executive director or by the board, the executive director shall serve upon the parties to the complaint a notice of the prehearing conference and of the hearing before the board, and that notice must designate the time and place of hearing for the prehearing conference or the hearing, as appropriate, except that a hearing may not be held based upon any alleged prohibited practice occurring more than 6 months prior to the filing of the complaint with the executive director.  The party complained of has the right to file a written answer to the complaint and to appear in person or otherwise and give testimony at the place and time fixed for the hearing.  In the discretion of the board, any other person or organization may be allowed to intervene in the proceeding and to present testimony.  This paragraph does not restrict the right of the board to require the executive director or the executive director's designee to hold a prehearing conference on any prohibited practice complaint prior to the hearing before the board and to take whatever action, including dismissal, attempting to resolve disagreements between the parties or recommending an order to the board, as the executive director determines appropriate, subject to review by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§57 (COR).]</w:t>
      </w:r>
    </w:p>
    <w:p>
      <w:pPr>
        <w:jc w:val="both"/>
        <w:spacing w:before="100" w:after="0"/>
        <w:ind w:start="720"/>
      </w:pPr>
      <w:r>
        <w:rPr/>
        <w:t>C</w:t>
        <w:t xml:space="preserve">.  </w:t>
      </w:r>
      <w:r>
        <w:rPr/>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discharged, or the payment to the individual of any back pay, if the individual was suspended or discharged for cause.</w:t>
      </w:r>
    </w:p>
    <w:p>
      <w:pPr>
        <w:jc w:val="both"/>
        <w:spacing w:before="100" w:after="0"/>
        <w:ind w:start="720"/>
      </w:pPr>
      <w:r>
        <w:rPr/>
      </w:r>
      <w:r>
        <w:rPr/>
      </w:r>
      <w:r>
        <w:t xml:space="preserve">After hearing and argument, if, upon a preponderance of the evidence received, the board is not of the opinion that the party named in the complaint has engaged in or is engaging in such a prohibited practice, the board shall in writing state its findings of fact and the reasons for its conclusions and shall issue an order dismissing the complaint.</w:t>
      </w:r>
      <w:r>
        <w:t xml:space="preserve">  </w:t>
      </w:r>
      <w:r xmlns:wp="http://schemas.openxmlformats.org/drawingml/2010/wordprocessingDrawing" xmlns:w15="http://schemas.microsoft.com/office/word/2012/wordml">
        <w:rPr>
          <w:rFonts w:ascii="Arial" w:hAnsi="Arial" w:cs="Arial"/>
          <w:sz w:val="22"/>
          <w:szCs w:val="22"/>
        </w:rPr>
        <w:t xml:space="preserve">[RR 2023, c. 2, Pt. E, §58 (COR).]</w:t>
      </w:r>
    </w:p>
    <w:p>
      <w:pPr>
        <w:jc w:val="both"/>
        <w:spacing w:before="100" w:after="0"/>
        <w:ind w:start="720"/>
      </w:pPr>
      <w:r>
        <w:rPr/>
        <w:t>D</w:t>
        <w:t xml:space="preserve">.  </w:t>
      </w:r>
      <w:r>
        <w:rPr/>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of Kennebec County, or the county in which the prohibited practice has occurred, to compel compliance with the order of the board. Upon application of any party in interest or the board, the court may grant such temporary relief or restraining order and may impose such terms and conditions as it deems just and proper; provided that the board's decision shall not be stayed except where it is clearly shown to the satisfaction of the court that substantial and irreparable injury shall be sustained or that there is a substantial risk of danger to the public health or safety.  In such action to compel compliance the Superior Court shall not review the action of the board other than to determine whether the board has acted in excess of its jurisdiction.  If an action to review the decision of the board is pending at the time of the commencement of an action for enforcement pursuant to this subsection or is thereafter filed, the 2 actions shall be consolidated.</w:t>
      </w:r>
      <w:r>
        <w:t xml:space="preserve">  </w:t>
      </w:r>
      <w:r xmlns:wp="http://schemas.openxmlformats.org/drawingml/2010/wordprocessingDrawing" xmlns:w15="http://schemas.microsoft.com/office/word/2012/wordml">
        <w:rPr>
          <w:rFonts w:ascii="Arial" w:hAnsi="Arial" w:cs="Arial"/>
          <w:sz w:val="22"/>
          <w:szCs w:val="22"/>
        </w:rPr>
        <w:t xml:space="preserve">[PL 1977, c. 479, §6 (AMD).]</w:t>
      </w:r>
    </w:p>
    <w:p>
      <w:pPr>
        <w:jc w:val="both"/>
        <w:spacing w:before="100" w:after="0"/>
        <w:ind w:start="720"/>
      </w:pPr>
      <w:r>
        <w:rPr/>
        <w:t>E</w:t>
        <w:t xml:space="preserve">.  </w:t>
      </w:r>
      <w:r>
        <w:rPr/>
      </w:r>
      <w:r>
        <w:t xml:space="preserve">Whenever a complaint is filed with the executive director of the board, alleging that a public employer has violated </w:t>
      </w:r>
      <w:r>
        <w:t>section 964, subsection 1, paragraph F</w:t>
      </w:r>
      <w:r>
        <w:t xml:space="preserve"> or alleging that a public employee or public employee organization or bargaining agent has violated </w:t>
      </w:r>
      <w:r>
        <w:t>section 964,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F</w:t>
        <w:t xml:space="preserve">.  </w:t>
      </w:r>
      <w:r>
        <w:rPr/>
      </w:r>
      <w:r>
        <w:t xml:space="preserve">Either party may seek a review by the Superior Court of Kennebec County or of the county in which the prohibited practice is alleged to have occurred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findings of the board on questions of fact are final unless shown to be clearly erroneous.  Any appeal to the Law Court must be the same as an appeal from an interlocutory order under </w:t>
      </w:r>
      <w:r>
        <w:t>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559, Pt. A, §26 (AMD).]</w:t>
      </w:r>
    </w:p>
    <w:p>
      <w:pPr>
        <w:jc w:val="both"/>
        <w:spacing w:before="100" w:after="0"/>
        <w:ind w:start="720"/>
      </w:pPr>
      <w:r>
        <w:rPr/>
        <w:t>G</w:t>
        <w:t xml:space="preserve">.  </w:t>
      </w:r>
      <w:r>
        <w:rPr/>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r>
        <w:t xml:space="preserve">  </w:t>
      </w:r>
      <w:r xmlns:wp="http://schemas.openxmlformats.org/drawingml/2010/wordprocessingDrawing" xmlns:w15="http://schemas.microsoft.com/office/word/2012/wordml">
        <w:rPr>
          <w:rFonts w:ascii="Arial" w:hAnsi="Arial" w:cs="Arial"/>
          <w:sz w:val="22"/>
          <w:szCs w:val="22"/>
        </w:rPr>
        <w:t xml:space="preserve">[PL 1973, c. 788, §120-A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§§57, 58 (COR).]</w:t>
      </w:r>
    </w:p>
    <w:p>
      <w:pPr>
        <w:jc w:val="both"/>
        <w:spacing w:before="100" w:after="100"/>
        <w:ind w:start="360"/>
        <w:ind w:firstLine="360"/>
      </w:pPr>
      <w:r>
        <w:rPr>
          <w:b/>
        </w:rPr>
        <w:t>6</w:t>
        <w:t xml:space="preserve">.  </w:t>
      </w:r>
      <w:r>
        <w:rPr>
          <w:b/>
        </w:rPr>
        <w:t xml:space="preserve">Hearings.</w:t>
        <w:t xml:space="preserve"> </w:t>
      </w:r>
      <w:r>
        <w:t xml:space="preserve"> </w:t>
      </w:r>
      <w:r>
        <w:t xml:space="preserve">The hearings conducted by the board pursuant to this section shall be informal and the rules of evidence prevailing in judicial proceedings shall not be binding.  Any and all documentary evidence and other evidence deemed relevant by the board may be received.</w:t>
      </w:r>
    </w:p>
    <w:p>
      <w:pPr>
        <w:jc w:val="both"/>
        <w:spacing w:before="100" w:after="0"/>
        <w:ind w:start="360"/>
      </w:pPr>
      <w:r>
        <w:rPr/>
      </w:r>
      <w:r>
        <w:rPr/>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§59 (COR).]</w:t>
      </w:r>
    </w:p>
    <w:p>
      <w:pPr>
        <w:jc w:val="both"/>
        <w:spacing w:before="100" w:after="100"/>
        <w:ind w:start="360"/>
        <w:ind w:firstLine="360"/>
      </w:pPr>
      <w:r>
        <w:rPr>
          <w:b/>
        </w:rPr>
        <w:t>7</w:t>
        <w:t xml:space="preserve">.  </w:t>
      </w:r>
      <w:r>
        <w:rPr>
          <w:b/>
        </w:rPr>
        <w:t xml:space="preserve">Reports.</w:t>
        <w:t xml:space="preserve"> </w:t>
      </w:r>
      <w:r>
        <w:t xml:space="preserve"> </w:t>
      </w:r>
      <w:r>
        <w:t xml:space="preserve">The board shall annually, on or before the first day of July, make a report to the Governor.  The appropriation for the board and the executive director shall be included in the bureau's budget and authorization for expenditures shall be the responsibility of the director.</w:t>
      </w:r>
    </w:p>
    <w:p>
      <w:pPr>
        <w:jc w:val="both"/>
        <w:spacing w:before="100" w:after="0"/>
        <w:ind w:start="360"/>
      </w:pPr>
      <w:r>
        <w:rPr/>
      </w:r>
      <w:r>
        <w:rPr/>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§§5-A,6,6-A (AMD). PL 1971, c. 609, §9 (RPR). PL 1971, c. 620, §13 (AMD). PL 1973, c. 458, §10 (AMD). PL 1973, c. 533, §§1,2 (AMD). PL 1973, c. 610, §1 (AMD). PL 1973, c. 788, §§120,120-A (AMD). PL 1975, c. 564, §§22-28 (AMD). PL 1975, c. 697, §§3-7 (AMD). PL 1975, c. 771, §§281-283 (AMD). PL 1975, c. 776, §2 (AMD). PL 1977, c. 78, §164 (AMD). PL 1977, c. 479, §§6,7 (AMD). PL 1977, c. 553, §§2,3 (AMD). PL 1977, c. 674, §24 (AMD). PL 1979, c. 501, §2 (AMD). PL 1979, c. 663, §160 (AMD). PL 1983, c. 812, §162 (AMD). PL 1989, c. 503, §B109 (AMD). PL 1991, c. 143, §§1,2 (AMD). PL 1991, c. 622, §O8 (AMD). PL 1991, c. 798, §6 (AMD). PL 1993, c. 90, §§1,2 (AMD). PL 2011, c. 559, Pt. A, §26 (AMD). PL 2019, c. 184, §1 (AMD). PL 2021, c. 421, §2 (AMD). RR 2023, c. 2, Pt. E, §§56-59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§968. Maine Labor Relations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§968. Maine Labor Relations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§968. MAINE LABOR RELATIONS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