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daughter, son, parent or spouse; or</w:t>
      </w:r>
      <w:r>
        <w:t xml:space="preserve">  </w:t>
      </w:r>
      <w:r xmlns:wp="http://schemas.openxmlformats.org/drawingml/2010/wordprocessingDrawing" xmlns:w15="http://schemas.microsoft.com/office/word/2012/wordml">
        <w:rPr>
          <w:rFonts w:ascii="Arial" w:hAnsi="Arial" w:cs="Arial"/>
          <w:sz w:val="22"/>
          <w:szCs w:val="22"/>
        </w:rPr>
        <w:t xml:space="preserve">[PL 2001, c. 685, §1 (AMD).]</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daughter, son, parent or spouse is a victim of violence, assault, sexual assaults under </w:t>
      </w:r>
      <w:r>
        <w:t>Title 17‑A, chapter 11</w:t>
      </w:r>
      <w:r>
        <w:t xml:space="preserve">, stalking or any act that would support an order for protection under </w:t>
      </w:r>
      <w:r>
        <w:t>Title 19‑A, chapter 103</w:t>
      </w:r>
      <w:r>
        <w:t xml:space="preserve">.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§59 (AMD); PL 2021, c. 647, Pt. B, §65 (AFF).]</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the terms "daughter," "son," "parent" and "spouse" have the same meanings as those terms have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§2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 Employment leave for victims of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Employment leave for victims of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 EMPLOYMENT LEAVE FOR VICTIMS OF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