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3706</w:t>
        <w:t xml:space="preserve">.  </w:t>
      </w:r>
      <w:r>
        <w:rPr>
          <w:b/>
        </w:rPr>
        <w:t xml:space="preserve">Proceedings</w:t>
      </w:r>
    </w:p>
    <w:p>
      <w:pPr>
        <w:jc w:val="both"/>
        <w:spacing w:before="100" w:after="0"/>
        <w:ind w:start="360"/>
        <w:ind w:firstLine="360"/>
      </w:pPr>
      <w:r>
        <w:rPr>
          <w:b/>
        </w:rPr>
        <w:t>1</w:t>
        <w:t xml:space="preserve">.  </w:t>
      </w:r>
      <w:r>
        <w:rPr>
          <w:b/>
        </w:rPr>
        <w:t xml:space="preserve">Cost.</w:t>
        <w:t xml:space="preserve"> </w:t>
      </w:r>
      <w:r>
        <w:t xml:space="preserve"> </w:t>
      </w:r>
      <w:r>
        <w:t xml:space="preserve">The costs of board members’ per diem and necessary expenses, as well as related state allocation program charges, must be borne by the party against whom the board decides. The Executive Director of the Maine Labor Relations Board is authorized to collect any sums due and payable pursuant to this subsection through civil action. In such an action, the court shall allow litigation costs, including court costs and reasonable attorney’s fees, to be deposited in the General Fund if the executive director is the prevailing party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w:t>
      </w:r>
    </w:p>
    <w:p>
      <w:pPr>
        <w:jc w:val="both"/>
        <w:spacing w:before="100" w:after="0"/>
        <w:ind w:start="360"/>
        <w:ind w:firstLine="360"/>
      </w:pPr>
      <w:r>
        <w:rPr>
          <w:b/>
        </w:rPr>
        <w:t>2</w:t>
        <w:t xml:space="preserve">.  </w:t>
      </w:r>
      <w:r>
        <w:rPr>
          <w:b/>
        </w:rPr>
        <w:t xml:space="preserve">Appeal.</w:t>
        <w:t xml:space="preserve"> </w:t>
      </w:r>
      <w:r>
        <w:t xml:space="preserve"> </w:t>
      </w:r>
      <w:r>
        <w:t xml:space="preserve">A decision of the board under this chapter constitutes a final agency action and is subject to judicial review pursuant to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w:t>
      </w:r>
    </w:p>
    <w:p>
      <w:pPr>
        <w:jc w:val="both"/>
        <w:spacing w:before="100" w:after="0"/>
        <w:ind w:start="360"/>
        <w:ind w:firstLine="360"/>
      </w:pPr>
      <w:r>
        <w:rPr>
          <w:b/>
        </w:rPr>
        <w:t>3</w:t>
        <w:t xml:space="preserve">.  </w:t>
      </w:r>
      <w:r>
        <w:rPr>
          <w:b/>
        </w:rPr>
        <w:t xml:space="preserve">Enforcement.</w:t>
        <w:t xml:space="preserve"> </w:t>
      </w:r>
      <w:r>
        <w:t xml:space="preserve"> </w:t>
      </w:r>
      <w:r>
        <w:t xml:space="preserve">A party to a decision of the board under this chapter may bring a civil action in Superior Court to enforce a decision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w:t>
      </w:r>
    </w:p>
    <w:p>
      <w:pPr>
        <w:jc w:val="both"/>
        <w:spacing w:before="100" w:after="100"/>
        <w:ind w:start="360"/>
        <w:ind w:firstLine="360"/>
      </w:pPr>
      <w:r>
        <w:rPr>
          <w:b/>
        </w:rPr>
        <w:t>4</w:t>
        <w:t xml:space="preserve">.  </w:t>
      </w:r>
      <w:r>
        <w:rPr>
          <w:b/>
        </w:rPr>
        <w:t xml:space="preserve">Applicability of State Board of Arbitration and Conciliation provisions.</w:t>
        <w:t xml:space="preserve"> </w:t>
      </w:r>
      <w:r>
        <w:t xml:space="preserve"> </w:t>
      </w:r>
      <w:r>
        <w:t xml:space="preserve">The following provisions apply to board proceedings under this chapter:</w:t>
      </w:r>
    </w:p>
    <w:p>
      <w:pPr>
        <w:jc w:val="both"/>
        <w:spacing w:before="100" w:after="0"/>
        <w:ind w:start="720"/>
      </w:pPr>
      <w:r>
        <w:rPr/>
        <w:t>A</w:t>
        <w:t xml:space="preserve">.  </w:t>
      </w:r>
      <w:r>
        <w:rPr/>
      </w:r>
      <w:r>
        <w:t xml:space="preserve">To the extent not inconsistent with this chapter, </w:t>
      </w:r>
      <w:r>
        <w:t>section 931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665, §4 (NEW).]</w:t>
      </w:r>
    </w:p>
    <w:p>
      <w:pPr>
        <w:jc w:val="both"/>
        <w:spacing w:before="100" w:after="0"/>
        <w:ind w:start="720"/>
      </w:pPr>
      <w:r>
        <w:rPr/>
        <w:t>B</w:t>
        <w:t xml:space="preserve">.  </w:t>
      </w:r>
      <w:r>
        <w:rPr/>
      </w:r>
      <w:r>
        <w:t>Sections 932</w:t>
      </w:r>
      <w:r>
        <w:t xml:space="preserve"> and </w:t>
      </w:r>
      <w:r>
        <w:t>939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§3706.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§3706.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§3706.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