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Logging Dispute Resolution Board established in </w:t>
      </w:r>
      <w:r>
        <w:t>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Forest land.</w:t>
        <w:t xml:space="preserve"> </w:t>
      </w:r>
      <w:r>
        <w:t xml:space="preserve"> </w:t>
      </w:r>
      <w:r>
        <w:t xml:space="preserve">"Forest land" means land used primarily for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Forest landowner.</w:t>
        <w:t xml:space="preserve"> </w:t>
      </w:r>
      <w:r>
        <w:t xml:space="preserve"> </w:t>
      </w:r>
      <w:r>
        <w:t xml:space="preserve">"Forest landowner" means a person that owns or possesses economic control over more than 50,000 acres of forest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Forest products harvester or hauler.</w:t>
        <w:t xml:space="preserve"> </w:t>
      </w:r>
      <w:r>
        <w:t xml:space="preserve"> </w:t>
      </w:r>
      <w:r>
        <w:t xml:space="preserve">"Forest products harvester or hauler" means an individual who qualifies as an independent contractor under </w:t>
      </w:r>
      <w:r>
        <w:t>section 1043, subsection 11, paragraph E</w:t>
      </w:r>
      <w:r>
        <w:t xml:space="preserve"> and who is engaged in harvesting or hauling trees from forest land for a forest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§1 (AMD).]</w:t>
      </w:r>
    </w:p>
    <w:p>
      <w:pPr>
        <w:jc w:val="both"/>
        <w:spacing w:before="100" w:after="100"/>
        <w:ind w:start="360"/>
      </w:pPr>
      <w:r>
        <w:rPr>
          <w:b w:val="true"/>
          <w:i/>
          <w:caps w:val="true"/>
        </w:rPr>
        <w:t xml:space="preserve">Revisor's Note: </w:t>
      </w:r>
      <w:r>
        <w:t>§3701. Definitions (As enacted by PL 2021, c. 688, §2 is REALLOCATED TO TITLE 26, SECTION 3801)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