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Reports of deaths and injuries</w:t>
      </w:r>
    </w:p>
    <w:p>
      <w:pPr>
        <w:jc w:val="both"/>
        <w:spacing w:before="100" w:after="0"/>
        <w:ind w:start="360"/>
        <w:ind w:firstLine="360"/>
      </w:pPr>
      <w:r>
        <w:rPr>
          <w:b/>
        </w:rPr>
        <w:t>1</w:t>
        <w:t xml:space="preserve">.  </w:t>
      </w:r>
      <w:r>
        <w:rPr>
          <w:b/>
        </w:rPr>
        <w:t xml:space="preserve">Reports of deaths.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8 hours after the occurrence, report the death of any person in the workplace or on the premises to the Director of the Bureau of Labor Standards, or the director's designee, by telephone or electronically, stating as fully as possible the cause of the death and the place where the deceased person has been sent and supplying other information relative to the death that may be required by the director who may investigate the causes of the death and require such precautions to be taken as will prevent the recurrence of similar events.  A statement contained in any such report is not admissible in evidence in any action arising out of the death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2</w:t>
        <w:t xml:space="preserve">.  </w:t>
      </w:r>
      <w:r>
        <w:rPr>
          <w:b/>
        </w:rPr>
        <w:t xml:space="preserve">Reports of serious physical injuries.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24 hours after the occurrence, report all serious physical injuries requiring immediate hospitalization sustained by any person in the workplace or on the premises to the Director of the Bureau of Labor Standards, or the director's designee, by telephone or electronically, stating as fully as possible the extent and cause of the injury and the place where the injured person has been sent and supplying other information relative to the injury that may be required by the director who may investigate the causes of the injury and require such precautions to be taken as will prevent the recurrence of similar events.  A statement contained in any such report is not admissible in evidence in any action arising out of the accident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3</w:t>
        <w:t xml:space="preserve">.  </w:t>
      </w:r>
      <w:r>
        <w:rPr>
          <w:b/>
        </w:rPr>
        <w:t xml:space="preserve">Serious physical injuries defined.</w:t>
        <w:t xml:space="preserve"> </w:t>
      </w:r>
      <w:r>
        <w:t xml:space="preserve"> </w:t>
      </w:r>
      <w:r>
        <w:t xml:space="preserve">"Serious physical injuries," as used in this section, means an incident that results in an amputation, loss or fracture of any body part or that necessitates immediate hospitalization or formal admission to the inpatient service of a hospital or clinic for care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274, §1 (AMD). PL 1971, c. 620, §13 (AMD). PL 1975, c. 519, §3 (AMD). PL 1975, c. 717, §1 (AMD). RR 1995, c. 2, §57 (COR). PL 2003, c. 244, §1 (RPR). PL 2015, c. 138,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Reports of deaths and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Reports of deaths and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 REPORTS OF DEATHS AND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