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1413-C</w:t>
        <w:t xml:space="preserve">.  </w:t>
      </w:r>
      <w:r>
        <w:rPr>
          <w:b/>
        </w:rPr>
        <w:t xml:space="preserve">Commission</w:t>
      </w:r>
    </w:p>
    <w:p>
      <w:pPr>
        <w:jc w:val="both"/>
        <w:spacing w:before="100" w:after="100"/>
        <w:ind w:start="360"/>
        <w:ind w:firstLine="360"/>
      </w:pPr>
      <w:r>
        <w:rPr/>
      </w:r>
      <w:r>
        <w:rPr/>
      </w:r>
      <w:r>
        <w:t xml:space="preserve">Within the department, the Commission for the Deaf, Hard of Hearing and Late Deafened, as established under </w:t>
      </w:r>
      <w:r>
        <w:t>Title 5, section 12004‑J, subsection 17</w:t>
      </w:r>
      <w:r>
        <w:t xml:space="preserve">, consists of up to 23 members appointed by the Governor and representing equally consumers, professionals and the public.   Members serve 3-year terms and may serve multiple terms without limit.  Members are entitled to compensation in accordance with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141, §15 (AMD).]</w:t>
      </w:r>
    </w:p>
    <w:p>
      <w:pPr>
        <w:jc w:val="both"/>
        <w:spacing w:before="100" w:after="100"/>
        <w:ind w:start="360"/>
        <w:ind w:firstLine="360"/>
      </w:pPr>
      <w:r>
        <w:rPr/>
      </w:r>
      <w:r>
        <w:rPr/>
      </w:r>
      <w:r>
        <w:t xml:space="preserve">The commission shall appoint, from its membership, a chair and vice-chair to serve 2-year terms.  The commission shall meet at the call of the chair but not less than 4 times during a calendar year.  The chair may delegate duties to members to carry out the functions of the commission.</w:t>
      </w:r>
      <w:r>
        <w:t xml:space="preserve">  </w:t>
      </w:r>
      <w:r xmlns:wp="http://schemas.openxmlformats.org/drawingml/2010/wordprocessingDrawing" xmlns:w15="http://schemas.microsoft.com/office/word/2012/wordml">
        <w:rPr>
          <w:rFonts w:ascii="Arial" w:hAnsi="Arial" w:cs="Arial"/>
          <w:sz w:val="22"/>
          <w:szCs w:val="22"/>
        </w:rPr>
        <w:t xml:space="preserve">[PL 2009, c. 174,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§F13 (NEW). PL 2009, c. 174, §17 (AMD). PL 2009, c. 652, Pt. A, §40 (AMD). PL 2015, c. 141,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§1413-C.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§1413-C.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§1413-C.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