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2804-N</w:t>
        <w:t xml:space="preserve">.  </w:t>
      </w:r>
      <w:r>
        <w:rPr>
          <w:b/>
        </w:rPr>
        <w:t xml:space="preserve">In-service probation and parole officer training</w:t>
      </w:r>
    </w:p>
    <w:p>
      <w:pPr>
        <w:jc w:val="both"/>
        <w:spacing w:before="100" w:after="0"/>
        <w:ind w:start="360"/>
        <w:ind w:firstLine="360"/>
      </w:pPr>
      <w:r>
        <w:rPr>
          <w:b/>
        </w:rPr>
        <w:t>1</w:t>
        <w:t xml:space="preserve">.  </w:t>
      </w:r>
      <w:r>
        <w:rPr>
          <w:b/>
        </w:rPr>
        <w:t xml:space="preserve">Required.</w:t>
        <w:t xml:space="preserve"> </w:t>
      </w:r>
      <w:r>
        <w:t xml:space="preserve"> </w:t>
      </w:r>
      <w:r>
        <w:t xml:space="preserve">Beginning July 1, 2025, as a condition to the continued employment of any person as a probation and parole officer, that person shall successfully complete in‑service training as prescribed by the board. Failure to successfully complete in-service training by a probation and parole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training requirements, consistent with </w:t>
      </w:r>
      <w:r>
        <w:t>subsection 1</w:t>
      </w:r>
      <w:r>
        <w:t xml:space="preserve">, and coordinate delivery of in-service training. The in-service recertification training requirements must include information on new laws and court decisions. The board shall consider and encourage the use of telecommunications technology in the development and delivery of in-service training programs. In establishing the recertification training requirements, the board shall cooperate with the Department of Corrections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w:pPr>
        <w:jc w:val="both"/>
        <w:spacing w:before="100" w:after="0"/>
        <w:ind w:start="360"/>
        <w:ind w:firstLine="360"/>
      </w:pPr>
      <w:r>
        <w:rPr>
          <w:b/>
        </w:rPr>
        <w:t>3</w:t>
        <w:t xml:space="preserve">.  </w:t>
      </w:r>
      <w:r>
        <w:rPr>
          <w:b/>
        </w:rPr>
        <w:t xml:space="preserve">Provision of in-service training.</w:t>
        <w:t xml:space="preserve"> </w:t>
      </w:r>
      <w:r>
        <w:t xml:space="preserve"> </w:t>
      </w:r>
      <w:r>
        <w:t xml:space="preserve">In-service training programs that meet the requirements established under </w:t>
      </w:r>
      <w:r>
        <w:t>subsection 2</w:t>
      </w:r>
      <w:r>
        <w:t xml:space="preserve"> or other in-service training may be provided by the Maine Criminal Justice Academy or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§2804-N. In-service probation and parole officer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§2804-N. In-service probation and parole officer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§2804-N. IN-SERVICE PROBATION AND PAROLE OFFICER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