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2804-L</w:t>
        <w:t xml:space="preserve">.  </w:t>
      </w:r>
      <w:r>
        <w:rPr>
          <w:b/>
        </w:rPr>
        <w:t xml:space="preserve">Law enforcement training for forest rangers</w:t>
      </w:r>
    </w:p>
    <w:p>
      <w:pPr>
        <w:jc w:val="both"/>
        <w:spacing w:before="100" w:after="100"/>
        <w:ind w:start="360"/>
        <w:ind w:firstLine="360"/>
      </w:pPr>
      <w:r>
        <w:rPr/>
      </w:r>
      <w:r>
        <w:rPr/>
      </w:r>
      <w:r>
        <w:t xml:space="preserve">Beginning July 1, 2019, all forest rangers and the state supervisor of the forest protection unit of the Bureau of Forestry within the Department of Agriculture, Conservation and Forestry must successfully complete the training requirements established under </w:t>
      </w:r>
      <w:r>
        <w:t>section 2803‑A, subsection 8‑D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§2804-L. Law enforcement training for forest rangers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§2804-L. Law enforcement training for forest rangers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§2804-L. LAW ENFORCEMENT TRAINING FOR FOREST RANGERS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