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§2448-A. Municipal review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§2448-A. Municipal review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§2448-A. MUNICIPAL REVIEW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