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2105-A</w:t>
        <w:t xml:space="preserve">.  </w:t>
      </w:r>
      <w:r>
        <w:rPr>
          <w:b/>
        </w:rPr>
        <w:t xml:space="preserve">Enforcement</w:t>
      </w:r>
    </w:p>
    <w:p>
      <w:pPr>
        <w:jc w:val="both"/>
        <w:spacing w:before="100" w:after="100"/>
        <w:ind w:start="360"/>
        <w:ind w:firstLine="360"/>
      </w:pPr>
      <w:r>
        <w:rPr/>
      </w:r>
      <w:r>
        <w:rPr/>
      </w:r>
      <w:r>
        <w:t xml:space="preserve">It is the responsibility of the State Police, sheriffs and their deputies and all other police officers to investigate any alleged violations of this chapter and any rules adopted by reference thereto.  Prior to taking enforcement action, a law enforcement officer shall have met minimum training requirements established by the Criminal Justice Academy with respect to hazardous materials.</w:t>
      </w:r>
      <w:r>
        <w:t xml:space="preserve">  </w:t>
      </w:r>
      <w:r xmlns:wp="http://schemas.openxmlformats.org/drawingml/2010/wordprocessingDrawing" xmlns:w15="http://schemas.microsoft.com/office/word/2012/wordml">
        <w:rPr>
          <w:rFonts w:ascii="Arial" w:hAnsi="Arial" w:cs="Arial"/>
          <w:sz w:val="22"/>
          <w:szCs w:val="22"/>
        </w:rPr>
        <w:t xml:space="preserve">[PL 1983, c. 736,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736,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§2105-A.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§2105-A.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§2105-A.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