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2607</w:t>
        <w:t xml:space="preserve">.  </w:t>
      </w:r>
      <w:r>
        <w:rPr>
          <w:b/>
        </w:rPr>
        <w:t xml:space="preserve">Claims paid information</w:t>
      </w:r>
    </w:p>
    <w:p>
      <w:pPr>
        <w:jc w:val="both"/>
        <w:spacing w:before="100" w:after="100"/>
        <w:ind w:start="360"/>
        <w:ind w:firstLine="360"/>
      </w:pPr>
      <w:r>
        <w:rPr/>
      </w:r>
      <w:r>
        <w:rPr/>
      </w:r>
      <w:r>
        <w:t xml:space="preserve">When 3 notices of professional liability claims are made within a 10-year period regarding any person licensed by the Board of Licensure in Medicine or the Board of Osteopathic Licensure and one or more of the claims, following an initial review, potentially may rise to a level of misconduct sufficient to merit board action, the board shall treat that situation as a complaint against the licensee or practitioner and shall initiate a review consistent with </w:t>
      </w:r>
      <w:r>
        <w:t>Title 32, sections 3282‑A</w:t>
      </w:r>
      <w:r>
        <w:t xml:space="preserve"> to </w:t>
      </w:r>
      <w:r>
        <w:t>3289</w:t>
      </w:r>
      <w:r>
        <w:t xml:space="preserve">.  Any claims that lack merit or fail to rise to a level of board action may be dismissed by the board for the purpose of this section.</w:t>
      </w:r>
      <w:r>
        <w:t xml:space="preserve">  </w:t>
      </w:r>
      <w:r xmlns:wp="http://schemas.openxmlformats.org/drawingml/2010/wordprocessingDrawing" xmlns:w15="http://schemas.microsoft.com/office/word/2012/wordml">
        <w:rPr>
          <w:rFonts w:ascii="Arial" w:hAnsi="Arial" w:cs="Arial"/>
          <w:sz w:val="22"/>
          <w:szCs w:val="22"/>
        </w:rPr>
        <w:t xml:space="preserve">[RR 2017, c. 2,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§10 (NEW). PL 1991, c. 534, §5 (AMD). PL 1993, c. 600, §§B21,22 (AMD). RR 2017, c. 2, §8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§2607. Claims paid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§2607. Claims paid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§2607. CLAIMS PAID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