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2606</w:t>
        <w:t xml:space="preserve">.  </w:t>
      </w:r>
      <w:r>
        <w:rPr>
          <w:b/>
        </w:rPr>
        <w:t xml:space="preserve">Immunity</w:t>
      </w:r>
    </w:p>
    <w:p>
      <w:pPr>
        <w:jc w:val="both"/>
        <w:spacing w:before="100" w:after="100"/>
        <w:ind w:start="360"/>
        <w:ind w:firstLine="360"/>
      </w:pPr>
      <w:r>
        <w:rPr/>
      </w:r>
      <w:r>
        <w:rPr/>
      </w:r>
      <w:r>
        <w:t xml:space="preserve">There is no liability on the part of and a cause of action of any nature does not arise against an insurer reporting hereunder or its agents or employees or the superintendent or the superintendent's representatives for any action taken by them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[RR 2019, c. 2, Pt. B, §81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RR 2019, c. 2, Pt. B, §81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§2606.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§2606.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§2606.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