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Experience reporting</w:t>
      </w:r>
    </w:p>
    <w:p>
      <w:pPr>
        <w:jc w:val="both"/>
        <w:spacing w:before="100" w:after="100"/>
        <w:ind w:start="360"/>
        <w:ind w:firstLine="360"/>
      </w:pPr>
      <w:r>
        <w:rPr/>
      </w:r>
      <w:r>
        <w:rPr/>
      </w:r>
      <w:r>
        <w:t xml:space="preserve">For all policies and contracts in force on or after the operative date of the valuation manual, an insurer shall submit mortality, morbidity, policyholder behavior and expense experience data, as applicable, and other data as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§961. Experience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Experience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§961. EXPERIENCE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