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731-D</w:t>
        <w:t xml:space="preserve">.  </w:t>
      </w:r>
      <w:r>
        <w:rPr>
          <w:b/>
        </w:rPr>
        <w:t xml:space="preserve">Notification of reinsurance changes</w:t>
      </w:r>
    </w:p>
    <w:p>
      <w:pPr>
        <w:jc w:val="both"/>
        <w:spacing w:before="100" w:after="100"/>
        <w:ind w:start="360"/>
        <w:ind w:firstLine="360"/>
      </w:pPr>
      <w:r>
        <w:rPr/>
      </w:r>
      <w:r>
        <w:rPr/>
      </w:r>
      <w:r>
        <w:t xml:space="preserve">The superintendent may by rule or order require an insurer  to promptly inform the superintendent in writing of the cancellation or any other material change of any of the insurer's reinsurance treaties or arrangements.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238,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E, §2 (NEW). PL 1989, c. 846, Pt. E, §4 (AFF). PL 2013, c. 238, Pt. B,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§731-D. Notification of reinsurance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§731-D. Notification of reinsurance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§731-D. NOTIFICATION OF REINSURANCE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