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§5077. Nonforfeiture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§5077. NONFORFEITURE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